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BB" w:rsidRPr="00B845BB" w:rsidRDefault="00B845BB" w:rsidP="00B845BB">
      <w:pPr>
        <w:jc w:val="center"/>
        <w:outlineLvl w:val="0"/>
        <w:rPr>
          <w:b/>
          <w:sz w:val="28"/>
          <w:szCs w:val="28"/>
        </w:rPr>
      </w:pPr>
      <w:r w:rsidRPr="00B845BB">
        <w:rPr>
          <w:b/>
          <w:sz w:val="28"/>
          <w:szCs w:val="28"/>
        </w:rPr>
        <w:t xml:space="preserve">АДМИНИСТРАЦИЯ </w:t>
      </w:r>
      <w:r w:rsidR="00566F52">
        <w:rPr>
          <w:b/>
          <w:sz w:val="28"/>
          <w:szCs w:val="28"/>
        </w:rPr>
        <w:t>ВЕРХ-КАРГАТСКОГО</w:t>
      </w:r>
      <w:r w:rsidRPr="00B845BB">
        <w:rPr>
          <w:b/>
          <w:sz w:val="28"/>
          <w:szCs w:val="28"/>
        </w:rPr>
        <w:t xml:space="preserve"> СЕЛЬСОВЕТА</w:t>
      </w:r>
    </w:p>
    <w:p w:rsidR="00B845BB" w:rsidRPr="00B845BB" w:rsidRDefault="00B845BB" w:rsidP="00B845BB">
      <w:pPr>
        <w:jc w:val="center"/>
        <w:outlineLvl w:val="0"/>
        <w:rPr>
          <w:b/>
          <w:sz w:val="28"/>
          <w:szCs w:val="28"/>
        </w:rPr>
      </w:pPr>
      <w:r w:rsidRPr="00B845BB">
        <w:rPr>
          <w:b/>
          <w:sz w:val="28"/>
          <w:szCs w:val="28"/>
        </w:rPr>
        <w:t>ЗДВИНСКОГО РАЙОНА НОВОСИБИРСКОЙ ОБЛАСТИ</w:t>
      </w:r>
    </w:p>
    <w:p w:rsidR="00B845BB" w:rsidRPr="00B845BB" w:rsidRDefault="00B845BB" w:rsidP="00B845BB">
      <w:pPr>
        <w:jc w:val="center"/>
        <w:rPr>
          <w:b/>
          <w:sz w:val="28"/>
          <w:szCs w:val="28"/>
        </w:rPr>
      </w:pPr>
    </w:p>
    <w:p w:rsidR="00B845BB" w:rsidRPr="00B845BB" w:rsidRDefault="00566F52" w:rsidP="00B845BB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09.12.2014 № 59</w:t>
      </w:r>
      <w:r w:rsidR="00B845BB" w:rsidRPr="00B845BB">
        <w:rPr>
          <w:sz w:val="28"/>
          <w:szCs w:val="28"/>
        </w:rPr>
        <w:t>-па</w:t>
      </w:r>
    </w:p>
    <w:p w:rsidR="00F41881" w:rsidRDefault="00F41881" w:rsidP="00B845BB">
      <w:pPr>
        <w:pStyle w:val="a4"/>
        <w:shd w:val="clear" w:color="auto" w:fill="FFFFFF"/>
        <w:spacing w:before="0" w:beforeAutospacing="0" w:after="150" w:afterAutospacing="0"/>
        <w:jc w:val="center"/>
        <w:rPr>
          <w:szCs w:val="28"/>
        </w:rPr>
      </w:pPr>
    </w:p>
    <w:p w:rsidR="00B845BB" w:rsidRPr="00976C16" w:rsidRDefault="00B845BB" w:rsidP="00B845BB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proofErr w:type="gramStart"/>
      <w:r w:rsidRPr="00976C16">
        <w:t>Об утверждении</w:t>
      </w:r>
      <w:r w:rsidRPr="00976C16">
        <w:rPr>
          <w:b/>
        </w:rPr>
        <w:t xml:space="preserve"> </w:t>
      </w:r>
      <w:r w:rsidRPr="00976C16">
        <w:rPr>
          <w:rStyle w:val="a5"/>
          <w:b w:val="0"/>
        </w:rPr>
        <w:t xml:space="preserve">порядка  сообщения лицами, замещающими должности муниципальной службы в администрации </w:t>
      </w:r>
      <w:r w:rsidR="00566F52" w:rsidRPr="00976C16">
        <w:rPr>
          <w:rStyle w:val="a5"/>
          <w:b w:val="0"/>
        </w:rPr>
        <w:t>Верх-Каргатского</w:t>
      </w:r>
      <w:r w:rsidRPr="00976C16">
        <w:rPr>
          <w:rStyle w:val="a5"/>
          <w:b w:val="0"/>
        </w:rPr>
        <w:t xml:space="preserve"> сельсовета Здвинского района Новосибирской области</w:t>
      </w:r>
      <w:r w:rsidRPr="00976C16">
        <w:rPr>
          <w:rStyle w:val="apple-converted-space"/>
          <w:b/>
          <w:bCs/>
        </w:rPr>
        <w:t> </w:t>
      </w:r>
      <w:r w:rsidRPr="00976C16">
        <w:rPr>
          <w:rStyle w:val="a5"/>
          <w:b w:val="0"/>
        </w:rPr>
        <w:t>и муниципальными служащими</w:t>
      </w:r>
      <w:r w:rsidRPr="00976C16">
        <w:rPr>
          <w:rStyle w:val="apple-converted-space"/>
          <w:b/>
          <w:bCs/>
        </w:rPr>
        <w:t> </w:t>
      </w:r>
      <w:r w:rsidRPr="00976C16">
        <w:rPr>
          <w:rStyle w:val="a5"/>
          <w:b w:val="0"/>
        </w:rPr>
        <w:t xml:space="preserve">администрации </w:t>
      </w:r>
      <w:r w:rsidR="00566F52" w:rsidRPr="00976C16">
        <w:rPr>
          <w:rStyle w:val="a5"/>
          <w:b w:val="0"/>
        </w:rPr>
        <w:t>Верх-Каргатского</w:t>
      </w:r>
      <w:r w:rsidRPr="00976C16">
        <w:rPr>
          <w:rStyle w:val="a5"/>
          <w:b w:val="0"/>
        </w:rPr>
        <w:t xml:space="preserve"> сельсовета Здвинского района Новосибирской области </w:t>
      </w:r>
      <w:r w:rsidRPr="00976C16">
        <w:rPr>
          <w:rStyle w:val="apple-converted-space"/>
          <w:b/>
        </w:rPr>
        <w:t> </w:t>
      </w:r>
      <w:r w:rsidRPr="00976C16">
        <w:rPr>
          <w:rStyle w:val="a5"/>
          <w:b w:val="0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B845BB" w:rsidRPr="00B845BB" w:rsidRDefault="00B845BB" w:rsidP="00B845B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4B4B4B"/>
          <w:sz w:val="28"/>
          <w:szCs w:val="28"/>
        </w:rPr>
      </w:pPr>
    </w:p>
    <w:p w:rsidR="00B845BB" w:rsidRPr="00B845BB" w:rsidRDefault="00566F52" w:rsidP="00566F52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              </w:t>
      </w:r>
      <w:proofErr w:type="gramStart"/>
      <w:r w:rsidR="00B845BB" w:rsidRPr="00B845BB">
        <w:rPr>
          <w:rStyle w:val="a5"/>
          <w:b w:val="0"/>
        </w:rPr>
        <w:t>В соответствии с </w:t>
      </w:r>
      <w:hyperlink r:id="rId4" w:history="1">
        <w:r w:rsidR="00B845BB" w:rsidRPr="00B845BB">
          <w:rPr>
            <w:rStyle w:val="a5"/>
            <w:b w:val="0"/>
          </w:rPr>
          <w:t>Гражданским кодексом РФ,</w:t>
        </w:r>
      </w:hyperlink>
      <w:r w:rsidR="00B845BB" w:rsidRPr="00B845BB">
        <w:rPr>
          <w:rStyle w:val="a5"/>
          <w:b w:val="0"/>
        </w:rPr>
        <w:t> 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постановлением Правительства РФ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</w:t>
      </w:r>
      <w:proofErr w:type="gramEnd"/>
      <w:r w:rsidR="00B845BB" w:rsidRPr="00B845BB">
        <w:rPr>
          <w:rStyle w:val="a5"/>
          <w:b w:val="0"/>
        </w:rPr>
        <w:t xml:space="preserve">) обязанностей, сдачи и оценки подарка, реализации (выкупа) и зачисления средств, вырученных от его реализации», постановлением Губернатора Новосибирской области от 06.05.2014 № 79 «О порядке сообщения лицами, замещающими государственные должности Новосибирской области, должности государственной гражданской службы Новосибирской области, и о получении подарка </w:t>
      </w:r>
      <w:proofErr w:type="gramStart"/>
      <w:r w:rsidR="00B845BB" w:rsidRPr="00B845BB">
        <w:rPr>
          <w:rStyle w:val="a5"/>
          <w:b w:val="0"/>
        </w:rPr>
        <w:t>в</w:t>
      </w:r>
      <w:proofErr w:type="gramEnd"/>
      <w:r w:rsidR="00B845BB" w:rsidRPr="00B845BB">
        <w:rPr>
          <w:rStyle w:val="a5"/>
          <w:b w:val="0"/>
        </w:rPr>
        <w:t xml:space="preserve">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>
        <w:rPr>
          <w:rStyle w:val="a5"/>
          <w:b w:val="0"/>
        </w:rPr>
        <w:t>, вырученных от его реализации» постановляю</w:t>
      </w:r>
      <w:r w:rsidR="00B845BB" w:rsidRPr="00B845BB">
        <w:rPr>
          <w:rStyle w:val="a5"/>
          <w:b w:val="0"/>
        </w:rPr>
        <w:t>:</w:t>
      </w:r>
    </w:p>
    <w:p w:rsidR="00566F52" w:rsidRDefault="00566F52" w:rsidP="00566F52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both"/>
        <w:rPr>
          <w:rStyle w:val="a5"/>
          <w:b w:val="0"/>
        </w:rPr>
      </w:pPr>
    </w:p>
    <w:p w:rsidR="00B845BB" w:rsidRPr="00B845BB" w:rsidRDefault="00566F52" w:rsidP="00566F52">
      <w:pPr>
        <w:pStyle w:val="a4"/>
        <w:shd w:val="clear" w:color="auto" w:fill="FFFFFF"/>
        <w:spacing w:before="0" w:beforeAutospacing="0" w:after="0" w:afterAutospacing="0" w:line="0" w:lineRule="atLeast"/>
        <w:ind w:left="709"/>
        <w:rPr>
          <w:rStyle w:val="a5"/>
          <w:b w:val="0"/>
        </w:rPr>
      </w:pPr>
      <w:r>
        <w:rPr>
          <w:rStyle w:val="a5"/>
          <w:b w:val="0"/>
        </w:rPr>
        <w:t xml:space="preserve">      </w:t>
      </w:r>
      <w:r w:rsidR="00B845BB" w:rsidRPr="00B845BB">
        <w:rPr>
          <w:rStyle w:val="a5"/>
          <w:b w:val="0"/>
        </w:rPr>
        <w:t xml:space="preserve">1. </w:t>
      </w:r>
      <w:proofErr w:type="gramStart"/>
      <w:r w:rsidR="00B845BB" w:rsidRPr="00B845BB">
        <w:rPr>
          <w:rStyle w:val="a5"/>
          <w:b w:val="0"/>
        </w:rPr>
        <w:t>Утвердить</w:t>
      </w:r>
      <w:r>
        <w:rPr>
          <w:rStyle w:val="a5"/>
          <w:b w:val="0"/>
        </w:rPr>
        <w:t xml:space="preserve"> </w:t>
      </w:r>
      <w:r w:rsidR="00B845BB" w:rsidRPr="00B845BB">
        <w:rPr>
          <w:rStyle w:val="a5"/>
          <w:b w:val="0"/>
        </w:rPr>
        <w:t xml:space="preserve"> прилагаемый Порядок  сообщения лицами, замещающими должности муниципальной службы в администрации </w:t>
      </w:r>
      <w:r>
        <w:rPr>
          <w:rStyle w:val="a5"/>
          <w:b w:val="0"/>
        </w:rPr>
        <w:t>Верх-Каргатского</w:t>
      </w:r>
      <w:r w:rsidR="00B845BB" w:rsidRPr="00B845BB">
        <w:rPr>
          <w:rStyle w:val="a5"/>
          <w:b w:val="0"/>
        </w:rPr>
        <w:t xml:space="preserve"> сельсовета и муниципальными служащими администрации </w:t>
      </w:r>
      <w:r>
        <w:rPr>
          <w:rStyle w:val="a5"/>
          <w:b w:val="0"/>
        </w:rPr>
        <w:t>Верх-Каргатского</w:t>
      </w:r>
      <w:r w:rsidR="00B845BB" w:rsidRPr="00B845BB">
        <w:rPr>
          <w:rStyle w:val="a5"/>
          <w:b w:val="0"/>
        </w:rPr>
        <w:t xml:space="preserve"> сельсовета Здвинского района Новосибирской области  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B845BB" w:rsidRPr="00B845BB" w:rsidRDefault="00566F52" w:rsidP="00566F52">
      <w:pPr>
        <w:pStyle w:val="a4"/>
        <w:shd w:val="clear" w:color="auto" w:fill="FFFFFF"/>
        <w:spacing w:before="0" w:beforeAutospacing="0" w:after="0" w:afterAutospacing="0" w:line="0" w:lineRule="atLeast"/>
        <w:ind w:left="709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     2.Слыш И.И.- зам</w:t>
      </w:r>
      <w:proofErr w:type="gramStart"/>
      <w:r>
        <w:rPr>
          <w:rStyle w:val="a5"/>
          <w:b w:val="0"/>
        </w:rPr>
        <w:t>.г</w:t>
      </w:r>
      <w:proofErr w:type="gramEnd"/>
      <w:r>
        <w:rPr>
          <w:rStyle w:val="a5"/>
          <w:b w:val="0"/>
        </w:rPr>
        <w:t>лавы</w:t>
      </w:r>
      <w:r w:rsidR="00B845BB" w:rsidRPr="00B845BB">
        <w:rPr>
          <w:rStyle w:val="a5"/>
          <w:b w:val="0"/>
        </w:rPr>
        <w:t xml:space="preserve"> администрации </w:t>
      </w:r>
      <w:r>
        <w:rPr>
          <w:rStyle w:val="a5"/>
          <w:b w:val="0"/>
        </w:rPr>
        <w:t>Верх-Каргатского</w:t>
      </w:r>
      <w:r w:rsidR="00B845BB" w:rsidRPr="00B845BB">
        <w:rPr>
          <w:rStyle w:val="a5"/>
          <w:b w:val="0"/>
        </w:rPr>
        <w:t xml:space="preserve"> сельсовета ознакомить муниципальных служащих администрации с данным постановлением.</w:t>
      </w:r>
    </w:p>
    <w:p w:rsidR="00B845BB" w:rsidRPr="00B845BB" w:rsidRDefault="00566F52" w:rsidP="00566F52">
      <w:pPr>
        <w:autoSpaceDE w:val="0"/>
        <w:autoSpaceDN w:val="0"/>
        <w:adjustRightInd w:val="0"/>
        <w:spacing w:line="0" w:lineRule="atLeast"/>
        <w:ind w:left="709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     </w:t>
      </w:r>
      <w:r w:rsidR="00B845BB" w:rsidRPr="00B845BB">
        <w:rPr>
          <w:rStyle w:val="a5"/>
          <w:b w:val="0"/>
        </w:rPr>
        <w:t xml:space="preserve">3. </w:t>
      </w:r>
      <w:proofErr w:type="gramStart"/>
      <w:r w:rsidR="00B845BB" w:rsidRPr="00B845BB">
        <w:rPr>
          <w:rStyle w:val="a5"/>
          <w:b w:val="0"/>
        </w:rPr>
        <w:t>Контроль за</w:t>
      </w:r>
      <w:proofErr w:type="gramEnd"/>
      <w:r w:rsidR="00B845BB" w:rsidRPr="00B845BB">
        <w:rPr>
          <w:rStyle w:val="a5"/>
          <w:b w:val="0"/>
        </w:rPr>
        <w:t xml:space="preserve"> исполнением настоящего постановления </w:t>
      </w:r>
      <w:r>
        <w:rPr>
          <w:rStyle w:val="a5"/>
          <w:b w:val="0"/>
        </w:rPr>
        <w:t>оставляю за собой.</w:t>
      </w:r>
    </w:p>
    <w:p w:rsidR="00B845BB" w:rsidRPr="00B845BB" w:rsidRDefault="00566F52" w:rsidP="00566F52">
      <w:pPr>
        <w:autoSpaceDE w:val="0"/>
        <w:autoSpaceDN w:val="0"/>
        <w:adjustRightInd w:val="0"/>
        <w:spacing w:line="0" w:lineRule="atLeast"/>
        <w:ind w:left="709"/>
        <w:jc w:val="both"/>
        <w:outlineLvl w:val="0"/>
        <w:rPr>
          <w:rStyle w:val="a5"/>
          <w:b w:val="0"/>
        </w:rPr>
      </w:pPr>
      <w:r>
        <w:rPr>
          <w:rStyle w:val="a5"/>
          <w:b w:val="0"/>
        </w:rPr>
        <w:t xml:space="preserve">       </w:t>
      </w:r>
      <w:r w:rsidR="00B845BB" w:rsidRPr="00B845BB">
        <w:rPr>
          <w:rStyle w:val="a5"/>
          <w:b w:val="0"/>
        </w:rPr>
        <w:t xml:space="preserve">4. Опубликовать постановление  в газете Вестник </w:t>
      </w:r>
      <w:r>
        <w:rPr>
          <w:rStyle w:val="a5"/>
          <w:b w:val="0"/>
        </w:rPr>
        <w:t>Верх-Каргатского</w:t>
      </w:r>
      <w:r w:rsidR="00B845BB" w:rsidRPr="00B845BB">
        <w:rPr>
          <w:rStyle w:val="a5"/>
          <w:b w:val="0"/>
        </w:rPr>
        <w:t xml:space="preserve"> сельсовета</w:t>
      </w:r>
      <w:proofErr w:type="gramStart"/>
      <w:r w:rsidR="00B845BB" w:rsidRPr="00B845BB">
        <w:rPr>
          <w:rStyle w:val="a5"/>
          <w:b w:val="0"/>
        </w:rPr>
        <w:t>..</w:t>
      </w:r>
      <w:proofErr w:type="gramEnd"/>
    </w:p>
    <w:p w:rsidR="00B845BB" w:rsidRPr="00B845BB" w:rsidRDefault="00566F52" w:rsidP="00566F52">
      <w:pPr>
        <w:autoSpaceDE w:val="0"/>
        <w:autoSpaceDN w:val="0"/>
        <w:adjustRightInd w:val="0"/>
        <w:spacing w:line="0" w:lineRule="atLeast"/>
        <w:ind w:left="709"/>
        <w:jc w:val="both"/>
        <w:outlineLvl w:val="0"/>
        <w:rPr>
          <w:rStyle w:val="a5"/>
          <w:b w:val="0"/>
        </w:rPr>
      </w:pPr>
      <w:r>
        <w:rPr>
          <w:rStyle w:val="a5"/>
          <w:b w:val="0"/>
        </w:rPr>
        <w:t xml:space="preserve">       </w:t>
      </w:r>
      <w:r w:rsidR="00B845BB" w:rsidRPr="00B845BB">
        <w:rPr>
          <w:rStyle w:val="a5"/>
          <w:b w:val="0"/>
        </w:rPr>
        <w:t>5. Настоящее постановление вступает в силу с момента его официального опубликования.</w:t>
      </w:r>
    </w:p>
    <w:p w:rsidR="00B845BB" w:rsidRPr="00B845BB" w:rsidRDefault="00B845BB" w:rsidP="00566F52">
      <w:pPr>
        <w:autoSpaceDE w:val="0"/>
        <w:autoSpaceDN w:val="0"/>
        <w:adjustRightInd w:val="0"/>
        <w:spacing w:line="0" w:lineRule="atLeast"/>
        <w:ind w:left="709"/>
        <w:jc w:val="both"/>
        <w:outlineLvl w:val="0"/>
        <w:rPr>
          <w:rStyle w:val="a5"/>
          <w:b w:val="0"/>
        </w:rPr>
      </w:pPr>
    </w:p>
    <w:p w:rsidR="00B845BB" w:rsidRDefault="00B845BB" w:rsidP="00566F52">
      <w:pPr>
        <w:tabs>
          <w:tab w:val="left" w:pos="2715"/>
          <w:tab w:val="center" w:pos="4677"/>
        </w:tabs>
        <w:spacing w:line="0" w:lineRule="atLeast"/>
        <w:ind w:firstLine="709"/>
        <w:jc w:val="both"/>
        <w:rPr>
          <w:sz w:val="28"/>
          <w:szCs w:val="28"/>
        </w:rPr>
      </w:pPr>
    </w:p>
    <w:p w:rsidR="00B845BB" w:rsidRDefault="00B845BB" w:rsidP="00566F52">
      <w:pPr>
        <w:tabs>
          <w:tab w:val="left" w:pos="2715"/>
          <w:tab w:val="center" w:pos="4677"/>
        </w:tabs>
        <w:spacing w:line="0" w:lineRule="atLeast"/>
        <w:ind w:firstLine="709"/>
        <w:jc w:val="both"/>
        <w:rPr>
          <w:sz w:val="28"/>
          <w:szCs w:val="28"/>
        </w:rPr>
      </w:pPr>
    </w:p>
    <w:p w:rsidR="00566F52" w:rsidRDefault="00B845BB" w:rsidP="00566F52">
      <w:pPr>
        <w:tabs>
          <w:tab w:val="left" w:pos="2715"/>
          <w:tab w:val="center" w:pos="4677"/>
        </w:tabs>
        <w:spacing w:line="0" w:lineRule="atLeast"/>
        <w:ind w:firstLine="709"/>
        <w:jc w:val="both"/>
        <w:rPr>
          <w:szCs w:val="28"/>
        </w:rPr>
      </w:pPr>
      <w:r w:rsidRPr="00B845BB">
        <w:rPr>
          <w:szCs w:val="28"/>
        </w:rPr>
        <w:t xml:space="preserve">Глава </w:t>
      </w:r>
      <w:r w:rsidR="00566F52">
        <w:rPr>
          <w:szCs w:val="28"/>
        </w:rPr>
        <w:t>Верх-Каргатского</w:t>
      </w:r>
      <w:r w:rsidRPr="00B845BB">
        <w:rPr>
          <w:szCs w:val="28"/>
        </w:rPr>
        <w:t xml:space="preserve"> сельсовета</w:t>
      </w:r>
    </w:p>
    <w:p w:rsidR="00B845BB" w:rsidRPr="00B845BB" w:rsidRDefault="00566F52" w:rsidP="00566F52">
      <w:pPr>
        <w:tabs>
          <w:tab w:val="left" w:pos="2715"/>
          <w:tab w:val="center" w:pos="4677"/>
        </w:tabs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Здвинского района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В.И.Слыш</w:t>
      </w:r>
    </w:p>
    <w:p w:rsidR="00B845BB" w:rsidRDefault="00B845BB" w:rsidP="00566F52">
      <w:pPr>
        <w:spacing w:line="0" w:lineRule="atLeast"/>
        <w:ind w:firstLine="709"/>
        <w:rPr>
          <w:rStyle w:val="a5"/>
          <w:b w:val="0"/>
          <w:sz w:val="22"/>
        </w:rPr>
      </w:pPr>
    </w:p>
    <w:p w:rsidR="00B845BB" w:rsidRPr="00B845BB" w:rsidRDefault="00B845BB" w:rsidP="00B845BB">
      <w:pPr>
        <w:rPr>
          <w:sz w:val="22"/>
        </w:rPr>
      </w:pPr>
    </w:p>
    <w:p w:rsidR="00B845BB" w:rsidRPr="00B845BB" w:rsidRDefault="00B845BB" w:rsidP="00B845BB">
      <w:pPr>
        <w:rPr>
          <w:sz w:val="22"/>
        </w:rPr>
      </w:pPr>
    </w:p>
    <w:p w:rsidR="00B845BB" w:rsidRDefault="00B845BB" w:rsidP="00B845BB">
      <w:pPr>
        <w:rPr>
          <w:sz w:val="22"/>
        </w:rPr>
      </w:pPr>
    </w:p>
    <w:p w:rsidR="002C12EE" w:rsidRDefault="00B845BB" w:rsidP="00B845BB">
      <w:pPr>
        <w:tabs>
          <w:tab w:val="left" w:pos="1245"/>
        </w:tabs>
        <w:rPr>
          <w:sz w:val="22"/>
        </w:rPr>
      </w:pPr>
      <w:r>
        <w:rPr>
          <w:sz w:val="22"/>
        </w:rPr>
        <w:tab/>
      </w: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tabs>
          <w:tab w:val="left" w:pos="1245"/>
        </w:tabs>
        <w:rPr>
          <w:sz w:val="22"/>
        </w:rPr>
      </w:pPr>
    </w:p>
    <w:p w:rsidR="00566F52" w:rsidRDefault="00566F52" w:rsidP="00B845BB">
      <w:pPr>
        <w:tabs>
          <w:tab w:val="left" w:pos="1245"/>
        </w:tabs>
        <w:rPr>
          <w:sz w:val="22"/>
        </w:rPr>
      </w:pPr>
    </w:p>
    <w:p w:rsidR="00566F52" w:rsidRDefault="00566F52" w:rsidP="00B845BB">
      <w:pPr>
        <w:tabs>
          <w:tab w:val="left" w:pos="1245"/>
        </w:tabs>
        <w:rPr>
          <w:sz w:val="22"/>
        </w:rPr>
      </w:pPr>
    </w:p>
    <w:p w:rsidR="00B845BB" w:rsidRDefault="00B845BB" w:rsidP="00B845BB">
      <w:pPr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B845BB" w:rsidRDefault="00E45F30" w:rsidP="00B845BB">
      <w:pPr>
        <w:autoSpaceDE w:val="0"/>
        <w:autoSpaceDN w:val="0"/>
        <w:adjustRightInd w:val="0"/>
        <w:jc w:val="right"/>
        <w:outlineLvl w:val="0"/>
      </w:pPr>
      <w:r>
        <w:t>п</w:t>
      </w:r>
      <w:r w:rsidR="00B845BB">
        <w:t xml:space="preserve">остановлением администрации </w:t>
      </w:r>
    </w:p>
    <w:p w:rsidR="00B845BB" w:rsidRDefault="00566F52" w:rsidP="00B845BB">
      <w:pPr>
        <w:autoSpaceDE w:val="0"/>
        <w:autoSpaceDN w:val="0"/>
        <w:adjustRightInd w:val="0"/>
        <w:jc w:val="right"/>
        <w:outlineLvl w:val="0"/>
      </w:pPr>
      <w:r>
        <w:t>Верх-Каргатского</w:t>
      </w:r>
      <w:r w:rsidR="00B845BB">
        <w:t xml:space="preserve"> сельсовета Здвинского района </w:t>
      </w:r>
    </w:p>
    <w:p w:rsidR="00B845BB" w:rsidRDefault="00B845BB" w:rsidP="00B845BB">
      <w:pPr>
        <w:autoSpaceDE w:val="0"/>
        <w:autoSpaceDN w:val="0"/>
        <w:adjustRightInd w:val="0"/>
        <w:jc w:val="right"/>
        <w:outlineLvl w:val="0"/>
      </w:pPr>
      <w:r>
        <w:t>Новосибирской области</w:t>
      </w:r>
    </w:p>
    <w:p w:rsidR="00B845BB" w:rsidRPr="00B845BB" w:rsidRDefault="00B845BB" w:rsidP="00B845BB">
      <w:pPr>
        <w:tabs>
          <w:tab w:val="left" w:pos="2715"/>
          <w:tab w:val="center" w:pos="4677"/>
        </w:tabs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E45F30">
        <w:rPr>
          <w:szCs w:val="28"/>
        </w:rPr>
        <w:t>от 09.12.2014 № 59</w:t>
      </w:r>
      <w:r w:rsidRPr="00B845BB">
        <w:rPr>
          <w:szCs w:val="28"/>
        </w:rPr>
        <w:t>-па</w:t>
      </w:r>
    </w:p>
    <w:p w:rsidR="00B845BB" w:rsidRDefault="00B845BB" w:rsidP="00E45F30">
      <w:pPr>
        <w:autoSpaceDE w:val="0"/>
        <w:autoSpaceDN w:val="0"/>
        <w:adjustRightInd w:val="0"/>
        <w:spacing w:line="0" w:lineRule="atLeast"/>
        <w:ind w:firstLine="540"/>
        <w:jc w:val="right"/>
        <w:outlineLvl w:val="0"/>
      </w:pPr>
    </w:p>
    <w:p w:rsidR="00B845BB" w:rsidRPr="00E45F30" w:rsidRDefault="00B845BB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center"/>
        <w:rPr>
          <w:b/>
          <w:szCs w:val="28"/>
        </w:rPr>
      </w:pPr>
      <w:proofErr w:type="gramStart"/>
      <w:r w:rsidRPr="00E45F30">
        <w:rPr>
          <w:rStyle w:val="a5"/>
          <w:b w:val="0"/>
        </w:rPr>
        <w:t xml:space="preserve">Порядок  </w:t>
      </w:r>
      <w:r w:rsidRPr="00E45F30">
        <w:rPr>
          <w:rStyle w:val="a5"/>
          <w:b w:val="0"/>
          <w:szCs w:val="28"/>
        </w:rPr>
        <w:t xml:space="preserve">сообщения лицами, замещающими должности муниципальной службы в администрации </w:t>
      </w:r>
      <w:r w:rsidR="00566F52" w:rsidRPr="00E45F30">
        <w:rPr>
          <w:rStyle w:val="a5"/>
          <w:b w:val="0"/>
          <w:szCs w:val="28"/>
        </w:rPr>
        <w:t>Верх-Каргатского</w:t>
      </w:r>
      <w:r w:rsidRPr="00E45F30">
        <w:rPr>
          <w:rStyle w:val="a5"/>
          <w:b w:val="0"/>
          <w:szCs w:val="28"/>
        </w:rPr>
        <w:t xml:space="preserve"> сельсовета Здвинского района Новосибирской области</w:t>
      </w:r>
      <w:r w:rsidRPr="00E45F30">
        <w:rPr>
          <w:rStyle w:val="apple-converted-space"/>
          <w:b/>
          <w:bCs/>
          <w:szCs w:val="28"/>
        </w:rPr>
        <w:t> </w:t>
      </w:r>
      <w:r w:rsidRPr="00E45F30">
        <w:rPr>
          <w:rStyle w:val="a5"/>
          <w:b w:val="0"/>
          <w:szCs w:val="28"/>
        </w:rPr>
        <w:t>и муниципальными служащими</w:t>
      </w:r>
      <w:r w:rsidRPr="00E45F30">
        <w:rPr>
          <w:rStyle w:val="apple-converted-space"/>
          <w:b/>
          <w:bCs/>
          <w:szCs w:val="28"/>
        </w:rPr>
        <w:t> </w:t>
      </w:r>
      <w:r w:rsidRPr="00E45F30">
        <w:rPr>
          <w:rStyle w:val="a5"/>
          <w:b w:val="0"/>
          <w:szCs w:val="28"/>
        </w:rPr>
        <w:t xml:space="preserve">администрации </w:t>
      </w:r>
      <w:r w:rsidR="00566F52" w:rsidRPr="00E45F30">
        <w:rPr>
          <w:rStyle w:val="a5"/>
          <w:b w:val="0"/>
          <w:szCs w:val="28"/>
        </w:rPr>
        <w:t>Верх-Каргатского</w:t>
      </w:r>
      <w:r w:rsidRPr="00E45F30">
        <w:rPr>
          <w:rStyle w:val="a5"/>
          <w:b w:val="0"/>
          <w:szCs w:val="28"/>
        </w:rPr>
        <w:t xml:space="preserve"> сельсовета Здвинского района Новосибирской области </w:t>
      </w:r>
      <w:r w:rsidRPr="00E45F30">
        <w:rPr>
          <w:rStyle w:val="apple-converted-space"/>
          <w:b/>
          <w:szCs w:val="28"/>
        </w:rPr>
        <w:t> </w:t>
      </w:r>
      <w:r w:rsidRPr="00E45F30">
        <w:rPr>
          <w:rStyle w:val="a5"/>
          <w:b w:val="0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B845BB" w:rsidRDefault="00B845BB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center"/>
        <w:rPr>
          <w:b/>
          <w:color w:val="4B4B4B"/>
        </w:rPr>
      </w:pP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t xml:space="preserve">     </w:t>
      </w:r>
      <w:r w:rsidR="00B845BB" w:rsidRPr="00E45F30">
        <w:t xml:space="preserve">1. </w:t>
      </w:r>
      <w:proofErr w:type="gramStart"/>
      <w:r w:rsidR="00B845BB" w:rsidRPr="00E45F30">
        <w:t xml:space="preserve">Настоящий Порядок определяет порядок сообщения лицами, замещающими муниципальные должности в </w:t>
      </w:r>
      <w:r w:rsidR="00B845BB" w:rsidRPr="00E45F30">
        <w:rPr>
          <w:rStyle w:val="a5"/>
          <w:b w:val="0"/>
        </w:rPr>
        <w:t xml:space="preserve">администрации </w:t>
      </w:r>
      <w:r w:rsidR="00566F52" w:rsidRPr="00E45F30">
        <w:rPr>
          <w:rStyle w:val="a5"/>
          <w:b w:val="0"/>
        </w:rPr>
        <w:t>Верх-Каргатского</w:t>
      </w:r>
      <w:r w:rsidR="00B845BB" w:rsidRPr="00E45F30">
        <w:rPr>
          <w:rStyle w:val="a5"/>
          <w:b w:val="0"/>
        </w:rPr>
        <w:t xml:space="preserve"> сельсовета Здвинского района Новосибирской области</w:t>
      </w:r>
      <w:r w:rsidR="00B845BB" w:rsidRPr="00E45F30">
        <w:t>, а также муниципальными служащими</w:t>
      </w:r>
      <w:r w:rsidR="00B845BB" w:rsidRPr="00E45F30">
        <w:rPr>
          <w:rStyle w:val="a5"/>
          <w:b w:val="0"/>
        </w:rPr>
        <w:t xml:space="preserve"> администрации </w:t>
      </w:r>
      <w:r w:rsidR="00566F52" w:rsidRPr="00E45F30">
        <w:rPr>
          <w:rStyle w:val="a5"/>
          <w:b w:val="0"/>
        </w:rPr>
        <w:t>Верх-Каргатского</w:t>
      </w:r>
      <w:r w:rsidR="00B845BB" w:rsidRPr="00E45F30">
        <w:rPr>
          <w:rStyle w:val="a5"/>
          <w:b w:val="0"/>
        </w:rPr>
        <w:t xml:space="preserve"> сельсовета Здвинского района Новосибирской области </w:t>
      </w:r>
      <w:r w:rsidR="00B845BB" w:rsidRPr="00E45F30">
        <w:rPr>
          <w:rStyle w:val="a5"/>
        </w:rPr>
        <w:t xml:space="preserve"> (</w:t>
      </w:r>
      <w:r w:rsidR="00B845BB" w:rsidRPr="00E45F30">
        <w:t>далее соответственно - лица, замещающие муниципальные должности</w:t>
      </w:r>
      <w:r w:rsidR="00A45D55">
        <w:t xml:space="preserve"> Верх-Каргатского сельсовета</w:t>
      </w:r>
      <w:r w:rsidR="00B845BB" w:rsidRPr="00E45F30">
        <w:rPr>
          <w:rStyle w:val="a5"/>
        </w:rPr>
        <w:t>)</w:t>
      </w:r>
      <w:r w:rsidR="00B845BB" w:rsidRPr="00E45F30">
        <w:rPr>
          <w:rStyle w:val="apple-converted-space"/>
          <w:b/>
          <w:bCs/>
        </w:rPr>
        <w:t> </w:t>
      </w:r>
      <w:r w:rsidR="00B845BB" w:rsidRPr="00E45F30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</w:t>
      </w:r>
      <w:proofErr w:type="gramEnd"/>
      <w:r w:rsidR="00B845BB" w:rsidRPr="00E45F30">
        <w:t xml:space="preserve">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t xml:space="preserve">     </w:t>
      </w:r>
      <w:r w:rsidR="00B845BB" w:rsidRPr="00E45F30">
        <w:t xml:space="preserve">2. </w:t>
      </w:r>
      <w:proofErr w:type="gramStart"/>
      <w:r w:rsidR="00B845BB" w:rsidRPr="00E45F30">
        <w:t>Для целей настоящего Порядка понятия «подарок, полученный в связи с протокольными мероприятиями, служебными командировками и другими официальными мероприятиями», «получение подарка в связи с должностным положением или в связи с исполнением служебных (должностных) обязанностей» понимаются в том значении, в котором они используются в Типовом положении о сообщении отдельными категориями лиц о получении подарка в связи с их должностным положением или исполнением</w:t>
      </w:r>
      <w:proofErr w:type="gramEnd"/>
      <w:r w:rsidR="00B845BB" w:rsidRPr="00E45F30">
        <w:t xml:space="preserve">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РФ от 9 января 2014 года № 10.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t xml:space="preserve">    </w:t>
      </w:r>
      <w:r w:rsidR="00B845BB" w:rsidRPr="00E45F30">
        <w:t>3. 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t xml:space="preserve">    </w:t>
      </w:r>
      <w:r w:rsidR="00B845BB" w:rsidRPr="00E45F30">
        <w:t>4. Лица, замещающие муниципальные должности, служащие обязаны в порядке, предусмотренном настоящим Порядка,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t xml:space="preserve">   </w:t>
      </w:r>
      <w:r w:rsidR="00B845BB" w:rsidRPr="00E45F30"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(</w:t>
      </w:r>
      <w:r w:rsidR="00B845BB" w:rsidRPr="00E45F30">
        <w:rPr>
          <w:rStyle w:val="a6"/>
        </w:rPr>
        <w:t>указывается ответственное должностное лицо, которому представляется уведомление</w:t>
      </w:r>
      <w:r w:rsidR="00B845BB" w:rsidRPr="00E45F30"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  </w:t>
      </w:r>
      <w:r w:rsidR="00B845BB" w:rsidRPr="00E45F30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</w:t>
      </w:r>
      <w:r w:rsidR="00B845BB" w:rsidRPr="00E45F30">
        <w:t>При невозможности подачи уведомления в сроки, указанные в</w:t>
      </w:r>
      <w:r w:rsidR="00B845BB" w:rsidRPr="00E45F30">
        <w:rPr>
          <w:rStyle w:val="apple-converted-space"/>
        </w:rPr>
        <w:t> </w:t>
      </w:r>
      <w:hyperlink r:id="rId5" w:anchor="Par5" w:history="1">
        <w:r w:rsidR="00B845BB" w:rsidRPr="00E45F30">
          <w:rPr>
            <w:rStyle w:val="a3"/>
            <w:color w:val="auto"/>
            <w:u w:val="none"/>
          </w:rPr>
          <w:t>абзацах первом</w:t>
        </w:r>
      </w:hyperlink>
      <w:r w:rsidR="00B845BB" w:rsidRPr="00E45F30">
        <w:rPr>
          <w:rStyle w:val="apple-converted-space"/>
        </w:rPr>
        <w:t> </w:t>
      </w:r>
      <w:r w:rsidR="00B845BB" w:rsidRPr="00E45F30">
        <w:t>и</w:t>
      </w:r>
      <w:r w:rsidR="00B845BB" w:rsidRPr="00E45F30">
        <w:rPr>
          <w:rStyle w:val="apple-converted-space"/>
        </w:rPr>
        <w:t> </w:t>
      </w:r>
      <w:hyperlink r:id="rId6" w:anchor="Par6" w:history="1">
        <w:r w:rsidR="00B845BB" w:rsidRPr="00E45F30">
          <w:rPr>
            <w:rStyle w:val="a3"/>
            <w:color w:val="auto"/>
            <w:u w:val="none"/>
          </w:rPr>
          <w:t>втором</w:t>
        </w:r>
      </w:hyperlink>
      <w:r w:rsidR="00B845BB" w:rsidRPr="00E45F30">
        <w:rPr>
          <w:rStyle w:val="apple-converted-space"/>
        </w:rPr>
        <w:t> </w:t>
      </w:r>
      <w:r w:rsidR="00B845BB" w:rsidRPr="00E45F30">
        <w:t>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</w:t>
      </w:r>
      <w:r w:rsidR="00B845BB" w:rsidRPr="00E45F30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не позднее дня, следующего за днём подачи уведомления, направляется в комиссию по поступлению и выбытию активов </w:t>
      </w:r>
      <w:r w:rsidR="00566F52" w:rsidRPr="00E45F30">
        <w:t>Верх-Каргатского</w:t>
      </w:r>
      <w:r w:rsidR="00F41881" w:rsidRPr="00E45F30">
        <w:t xml:space="preserve"> сельсовета</w:t>
      </w:r>
      <w:r w:rsidR="00B845BB" w:rsidRPr="00E45F30">
        <w:t>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</w:t>
      </w:r>
      <w:r w:rsidR="00B845BB" w:rsidRPr="00E45F30">
        <w:t xml:space="preserve">7. </w:t>
      </w:r>
      <w:proofErr w:type="gramStart"/>
      <w:r w:rsidR="00B845BB" w:rsidRPr="00E45F30">
        <w:t xml:space="preserve"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ответственному </w:t>
      </w:r>
      <w:r w:rsidR="00B845BB" w:rsidRPr="00E45F30">
        <w:lastRenderedPageBreak/>
        <w:t xml:space="preserve">лицу в </w:t>
      </w:r>
      <w:r w:rsidR="00B845BB" w:rsidRPr="00E45F30">
        <w:rPr>
          <w:rStyle w:val="a5"/>
          <w:b w:val="0"/>
        </w:rPr>
        <w:t xml:space="preserve">администрации </w:t>
      </w:r>
      <w:r w:rsidR="00566F52" w:rsidRPr="00E45F30">
        <w:rPr>
          <w:rStyle w:val="a5"/>
          <w:b w:val="0"/>
        </w:rPr>
        <w:t>Верх-Каргатского</w:t>
      </w:r>
      <w:r w:rsidR="00B845BB" w:rsidRPr="00E45F30">
        <w:rPr>
          <w:rStyle w:val="a5"/>
          <w:b w:val="0"/>
        </w:rPr>
        <w:t xml:space="preserve"> сельсовета </w:t>
      </w:r>
      <w:r w:rsidR="00B845BB" w:rsidRPr="00E45F30">
        <w:t>(или ответственному должностному лицу, которому представлено уведомление о получении подарка),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  <w:r w:rsidR="00B845BB" w:rsidRPr="00E45F30">
        <w:t xml:space="preserve"> Журнал регистрации должен быть пронумерован, прошнурован и скреплён печатью </w:t>
      </w:r>
      <w:r w:rsidR="00B845BB" w:rsidRPr="00E45F30">
        <w:rPr>
          <w:rStyle w:val="a5"/>
          <w:b w:val="0"/>
        </w:rPr>
        <w:t xml:space="preserve">администрации </w:t>
      </w:r>
      <w:r w:rsidR="00566F52" w:rsidRPr="00E45F30">
        <w:rPr>
          <w:rStyle w:val="a5"/>
          <w:b w:val="0"/>
        </w:rPr>
        <w:t>Верх-Каргатского</w:t>
      </w:r>
      <w:r w:rsidR="00B845BB" w:rsidRPr="00E45F30">
        <w:rPr>
          <w:rStyle w:val="a5"/>
          <w:b w:val="0"/>
        </w:rPr>
        <w:t xml:space="preserve"> сельсовета</w:t>
      </w:r>
      <w:proofErr w:type="gramStart"/>
      <w:r w:rsidR="00B845BB" w:rsidRPr="00E45F30">
        <w:rPr>
          <w:rStyle w:val="a5"/>
          <w:b w:val="0"/>
        </w:rPr>
        <w:t xml:space="preserve"> </w:t>
      </w:r>
      <w:r w:rsidR="00A45D55">
        <w:rPr>
          <w:rStyle w:val="a5"/>
          <w:b w:val="0"/>
        </w:rPr>
        <w:t>.</w:t>
      </w:r>
      <w:proofErr w:type="gramEnd"/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  </w:t>
      </w:r>
      <w:r w:rsidR="00B845BB" w:rsidRPr="00E45F30"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</w:t>
      </w:r>
      <w:r w:rsidR="00B845BB" w:rsidRPr="00E45F30">
        <w:rPr>
          <w:rStyle w:val="apple-converted-space"/>
        </w:rPr>
        <w:t> </w:t>
      </w:r>
      <w:hyperlink r:id="rId7" w:anchor="Par9" w:history="1">
        <w:r w:rsidR="00B845BB" w:rsidRPr="00E45F30">
          <w:rPr>
            <w:rStyle w:val="a3"/>
            <w:color w:val="auto"/>
            <w:u w:val="none"/>
          </w:rPr>
          <w:t>пунктом 7</w:t>
        </w:r>
      </w:hyperlink>
      <w:r w:rsidR="00B845BB" w:rsidRPr="00E45F30">
        <w:rPr>
          <w:rStyle w:val="apple-converted-space"/>
        </w:rPr>
        <w:t> </w:t>
      </w:r>
      <w:r w:rsidR="00B845BB" w:rsidRPr="00E45F30">
        <w:t>настоящего Положения.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</w:t>
      </w:r>
      <w:r w:rsidR="00B845BB" w:rsidRPr="00E45F30">
        <w:t xml:space="preserve">9. </w:t>
      </w:r>
      <w:proofErr w:type="gramStart"/>
      <w:r w:rsidR="00B845BB" w:rsidRPr="00E45F30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B845BB" w:rsidRPr="00E45F30">
        <w:t xml:space="preserve"> или повреждение подарка несет лицо, получившее подарок.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</w:t>
      </w:r>
      <w:r w:rsidR="00B845BB" w:rsidRPr="00E45F30">
        <w:t xml:space="preserve">10. </w:t>
      </w:r>
      <w:proofErr w:type="gramStart"/>
      <w:r w:rsidR="00B845BB" w:rsidRPr="00E45F30"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активов </w:t>
      </w:r>
      <w:r w:rsidR="00B845BB" w:rsidRPr="00E45F30">
        <w:rPr>
          <w:rStyle w:val="a5"/>
          <w:b w:val="0"/>
        </w:rPr>
        <w:t xml:space="preserve">администрации </w:t>
      </w:r>
      <w:r w:rsidR="00566F52" w:rsidRPr="00E45F30">
        <w:rPr>
          <w:rStyle w:val="a5"/>
          <w:b w:val="0"/>
        </w:rPr>
        <w:t>Верх-Каргатского</w:t>
      </w:r>
      <w:r w:rsidR="00B845BB" w:rsidRPr="00E45F30">
        <w:rPr>
          <w:rStyle w:val="a5"/>
          <w:b w:val="0"/>
        </w:rPr>
        <w:t xml:space="preserve"> сельсовета </w:t>
      </w:r>
      <w:r w:rsidR="00B845BB" w:rsidRPr="00E45F30">
        <w:t>или иного органа, комиссии по учёту муниципального имущества, созданных в</w:t>
      </w:r>
      <w:proofErr w:type="gramEnd"/>
      <w:r w:rsidR="00B845BB" w:rsidRPr="00E45F30">
        <w:t xml:space="preserve"> </w:t>
      </w:r>
      <w:proofErr w:type="gramStart"/>
      <w:r w:rsidR="00B845BB" w:rsidRPr="00E45F30">
        <w:t>органе</w:t>
      </w:r>
      <w:proofErr w:type="gramEnd"/>
      <w:r w:rsidR="00B845BB" w:rsidRPr="00E45F30">
        <w:t xml:space="preserve"> местного самоуправления в соответствии с законодательством о бухгалтерском учёте.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</w:t>
      </w:r>
      <w:r w:rsidR="00B845BB" w:rsidRPr="00E45F30"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845BB" w:rsidRPr="00E45F30" w:rsidRDefault="00E45F30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 </w:t>
      </w:r>
      <w:r w:rsidR="00B845BB" w:rsidRPr="00E45F30">
        <w:t xml:space="preserve">11. </w:t>
      </w:r>
      <w:r w:rsidR="00A45D55">
        <w:t>О</w:t>
      </w:r>
      <w:r w:rsidR="00B845BB" w:rsidRPr="00E45F30">
        <w:t xml:space="preserve">тветственное должностное лицо </w:t>
      </w:r>
      <w:r w:rsidR="00B845BB" w:rsidRPr="00E45F30">
        <w:rPr>
          <w:rStyle w:val="a5"/>
          <w:b w:val="0"/>
        </w:rPr>
        <w:t xml:space="preserve">администрации </w:t>
      </w:r>
      <w:r w:rsidR="00566F52" w:rsidRPr="00E45F30">
        <w:rPr>
          <w:rStyle w:val="a5"/>
          <w:b w:val="0"/>
        </w:rPr>
        <w:t>Верх-Каргатского</w:t>
      </w:r>
      <w:r w:rsidR="00B845BB" w:rsidRPr="00E45F30">
        <w:rPr>
          <w:rStyle w:val="a5"/>
          <w:b w:val="0"/>
        </w:rPr>
        <w:t xml:space="preserve"> сельсовета </w:t>
      </w:r>
      <w:r w:rsidR="00B845BB" w:rsidRPr="00E45F30"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B845BB" w:rsidRPr="00E45F30" w:rsidRDefault="00A45D55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</w:t>
      </w:r>
      <w:r w:rsidR="00B845BB" w:rsidRPr="00E45F30"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845BB" w:rsidRPr="00E45F30" w:rsidRDefault="00A45D55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</w:t>
      </w:r>
      <w:r w:rsidR="00B845BB" w:rsidRPr="00E45F30">
        <w:t xml:space="preserve">Глава </w:t>
      </w:r>
      <w:r>
        <w:t>сельсовета</w:t>
      </w:r>
      <w:r w:rsidR="00B845BB" w:rsidRPr="00E45F30">
        <w:t xml:space="preserve"> вправе выкупить подарок, представив письменное уведомление о своём намерении выкупить подарок непосредственно ответственному должностному лицу </w:t>
      </w:r>
      <w:r w:rsidR="00566F52" w:rsidRPr="00E45F30">
        <w:t>Верх-Каргатского</w:t>
      </w:r>
      <w:r w:rsidR="00F41881" w:rsidRPr="00E45F30">
        <w:t xml:space="preserve"> сельсовета</w:t>
      </w:r>
      <w:r w:rsidR="00B845BB" w:rsidRPr="00E45F30">
        <w:t>.</w:t>
      </w:r>
    </w:p>
    <w:p w:rsidR="00B845BB" w:rsidRPr="00E45F30" w:rsidRDefault="00A45D55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</w:t>
      </w:r>
      <w:r w:rsidR="00B845BB" w:rsidRPr="00E45F30">
        <w:t xml:space="preserve">13. </w:t>
      </w:r>
      <w:proofErr w:type="gramStart"/>
      <w:r>
        <w:t>О</w:t>
      </w:r>
      <w:r w:rsidR="00B845BB" w:rsidRPr="00E45F30">
        <w:t xml:space="preserve">тветственное должностное лицо </w:t>
      </w:r>
      <w:r w:rsidR="00566F52" w:rsidRPr="00E45F30">
        <w:t>Верх-Каргатского</w:t>
      </w:r>
      <w:r w:rsidR="00F41881" w:rsidRPr="00E45F30">
        <w:t xml:space="preserve"> сельсовета</w:t>
      </w:r>
      <w:r w:rsidR="00B845BB" w:rsidRPr="00E45F30">
        <w:t xml:space="preserve"> в течение 3 месяцев со дня поступления заявления или уведомления о намерении выкупить подарок, указанные в</w:t>
      </w:r>
      <w:r w:rsidR="00B845BB" w:rsidRPr="00E45F30">
        <w:rPr>
          <w:rStyle w:val="apple-converted-space"/>
        </w:rPr>
        <w:t> </w:t>
      </w:r>
      <w:hyperlink r:id="rId8" w:anchor="Par14" w:history="1">
        <w:r w:rsidR="00B845BB" w:rsidRPr="00E45F30">
          <w:rPr>
            <w:rStyle w:val="a3"/>
            <w:color w:val="auto"/>
            <w:u w:val="none"/>
          </w:rPr>
          <w:t>пункте 12</w:t>
        </w:r>
      </w:hyperlink>
      <w:r w:rsidR="00B845BB" w:rsidRPr="00E45F30">
        <w:rPr>
          <w:rStyle w:val="apple-converted-space"/>
        </w:rPr>
        <w:t> </w:t>
      </w:r>
      <w:r w:rsidR="00B845BB" w:rsidRPr="00E45F30">
        <w:t>настоящего Положения, организует оценку стоимости подарка для реализации (выкупа) и уведомляет в письменной форме лицо, подавшее заявление (уведомление о намерении выкупить подарок), о результатах оценки, после чего в течение месяца с момента получения уведомления о возможности выкупа</w:t>
      </w:r>
      <w:proofErr w:type="gramEnd"/>
      <w:r w:rsidR="00B845BB" w:rsidRPr="00E45F30">
        <w:t xml:space="preserve"> подарка заявитель выкупает подарок по установленной в результате оценки стоимости или отказывается от выкупа.</w:t>
      </w:r>
    </w:p>
    <w:p w:rsidR="00B845BB" w:rsidRPr="00E45F30" w:rsidRDefault="00A45D55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 </w:t>
      </w:r>
      <w:r w:rsidR="00B845BB" w:rsidRPr="00E45F30">
        <w:t>14. Подарок, в отношении которого не поступили заявление или уведомление о намерении выкупить подарок, указанные в</w:t>
      </w:r>
      <w:r w:rsidR="00B845BB" w:rsidRPr="00E45F30">
        <w:rPr>
          <w:rStyle w:val="apple-converted-space"/>
        </w:rPr>
        <w:t> </w:t>
      </w:r>
      <w:hyperlink r:id="rId9" w:anchor="Par14" w:history="1">
        <w:r w:rsidR="00B845BB" w:rsidRPr="00E45F30">
          <w:rPr>
            <w:rStyle w:val="a3"/>
            <w:color w:val="auto"/>
            <w:u w:val="none"/>
          </w:rPr>
          <w:t>пункте 12</w:t>
        </w:r>
      </w:hyperlink>
      <w:r w:rsidR="00B845BB" w:rsidRPr="00E45F30">
        <w:rPr>
          <w:rStyle w:val="apple-converted-space"/>
        </w:rPr>
        <w:t> </w:t>
      </w:r>
      <w:r w:rsidR="00B845BB" w:rsidRPr="00E45F30">
        <w:t xml:space="preserve">настоящего Положения, может использоваться </w:t>
      </w:r>
      <w:r w:rsidR="00B845BB" w:rsidRPr="00E45F30">
        <w:rPr>
          <w:rStyle w:val="a5"/>
          <w:b w:val="0"/>
        </w:rPr>
        <w:t xml:space="preserve">администрации </w:t>
      </w:r>
      <w:r w:rsidR="00566F52" w:rsidRPr="00E45F30">
        <w:rPr>
          <w:rStyle w:val="a5"/>
          <w:b w:val="0"/>
        </w:rPr>
        <w:t>Верх-Каргатского</w:t>
      </w:r>
      <w:r w:rsidR="00B845BB" w:rsidRPr="00E45F30">
        <w:rPr>
          <w:rStyle w:val="a5"/>
          <w:b w:val="0"/>
        </w:rPr>
        <w:t xml:space="preserve"> сельсовета </w:t>
      </w:r>
      <w:r w:rsidR="00B845BB" w:rsidRPr="00E45F30">
        <w:t xml:space="preserve">с учетом заключения комиссии по поступлению и выбытию активов о целесообразности использования подарка для обеспечения деятельности </w:t>
      </w:r>
      <w:r w:rsidR="006539D2" w:rsidRPr="00E45F30">
        <w:rPr>
          <w:rStyle w:val="a5"/>
          <w:b w:val="0"/>
        </w:rPr>
        <w:t xml:space="preserve">администрации </w:t>
      </w:r>
      <w:r w:rsidR="00566F52" w:rsidRPr="00E45F30">
        <w:rPr>
          <w:rStyle w:val="a5"/>
          <w:b w:val="0"/>
        </w:rPr>
        <w:t>Верх-Каргатского</w:t>
      </w:r>
      <w:r w:rsidR="006539D2" w:rsidRPr="00E45F30">
        <w:rPr>
          <w:rStyle w:val="a5"/>
          <w:b w:val="0"/>
        </w:rPr>
        <w:t xml:space="preserve"> сельсовета</w:t>
      </w:r>
      <w:r w:rsidR="00B845BB" w:rsidRPr="00E45F30">
        <w:t>.</w:t>
      </w:r>
    </w:p>
    <w:p w:rsidR="00B845BB" w:rsidRPr="00E45F30" w:rsidRDefault="00A45D55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</w:t>
      </w:r>
      <w:r w:rsidR="00B845BB" w:rsidRPr="00E45F30">
        <w:t xml:space="preserve">15. В случае нецелесообразности использования подарка </w:t>
      </w:r>
      <w:r>
        <w:t>главой</w:t>
      </w:r>
      <w:r w:rsidR="006539D2" w:rsidRPr="00E45F30">
        <w:rPr>
          <w:rStyle w:val="a5"/>
          <w:b w:val="0"/>
        </w:rPr>
        <w:t xml:space="preserve"> </w:t>
      </w:r>
      <w:r w:rsidR="00566F52" w:rsidRPr="00E45F30">
        <w:rPr>
          <w:rStyle w:val="a5"/>
          <w:b w:val="0"/>
        </w:rPr>
        <w:t>Верх-Каргатского</w:t>
      </w:r>
      <w:r w:rsidR="006539D2" w:rsidRPr="00E45F30">
        <w:rPr>
          <w:rStyle w:val="a5"/>
          <w:b w:val="0"/>
        </w:rPr>
        <w:t xml:space="preserve"> сельсовета </w:t>
      </w:r>
      <w:r w:rsidR="00B845BB" w:rsidRPr="00E45F30">
        <w:t>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B845BB" w:rsidRPr="00E45F30" w:rsidRDefault="00A45D55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 </w:t>
      </w:r>
      <w:r w:rsidR="00B845BB" w:rsidRPr="00E45F30">
        <w:t>16. Оценка стоимости подарка для реализации (выкупа), предусмотренная</w:t>
      </w:r>
      <w:r w:rsidR="00B845BB" w:rsidRPr="00E45F30">
        <w:rPr>
          <w:rStyle w:val="apple-converted-space"/>
        </w:rPr>
        <w:t> </w:t>
      </w:r>
      <w:hyperlink r:id="rId10" w:anchor="Par15" w:history="1">
        <w:r w:rsidR="00B845BB" w:rsidRPr="00E45F30">
          <w:rPr>
            <w:rStyle w:val="a3"/>
            <w:color w:val="auto"/>
            <w:u w:val="none"/>
          </w:rPr>
          <w:t>пунктами 13</w:t>
        </w:r>
      </w:hyperlink>
      <w:r w:rsidR="00B845BB" w:rsidRPr="00E45F30">
        <w:rPr>
          <w:rStyle w:val="apple-converted-space"/>
        </w:rPr>
        <w:t> </w:t>
      </w:r>
      <w:r w:rsidR="00B845BB" w:rsidRPr="00E45F30">
        <w:t>и</w:t>
      </w:r>
      <w:r w:rsidR="00B845BB" w:rsidRPr="00E45F30">
        <w:rPr>
          <w:rStyle w:val="apple-converted-space"/>
        </w:rPr>
        <w:t> </w:t>
      </w:r>
      <w:hyperlink r:id="rId11" w:anchor="Par17" w:history="1">
        <w:r w:rsidR="00B845BB" w:rsidRPr="00E45F30">
          <w:rPr>
            <w:rStyle w:val="a3"/>
            <w:color w:val="auto"/>
            <w:u w:val="none"/>
          </w:rPr>
          <w:t>15</w:t>
        </w:r>
      </w:hyperlink>
      <w:r w:rsidR="00B845BB" w:rsidRPr="00E45F30">
        <w:rPr>
          <w:rStyle w:val="apple-converted-space"/>
        </w:rPr>
        <w:t> </w:t>
      </w:r>
      <w:r w:rsidR="00B845BB" w:rsidRPr="00E45F30"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845BB" w:rsidRPr="00E45F30" w:rsidRDefault="00A45D55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  </w:t>
      </w:r>
      <w:r w:rsidR="00B845BB" w:rsidRPr="00E45F30">
        <w:t xml:space="preserve">17. В случае если подарок не выкуплен или не реализован, </w:t>
      </w:r>
      <w:r>
        <w:t>главой</w:t>
      </w:r>
      <w:r w:rsidR="00B845BB" w:rsidRPr="00E45F30">
        <w:t xml:space="preserve"> </w:t>
      </w:r>
      <w:r w:rsidR="006539D2" w:rsidRPr="00E45F30">
        <w:rPr>
          <w:rStyle w:val="a5"/>
          <w:b w:val="0"/>
        </w:rPr>
        <w:t xml:space="preserve"> </w:t>
      </w:r>
      <w:r w:rsidR="00566F52" w:rsidRPr="00E45F30">
        <w:rPr>
          <w:rStyle w:val="a5"/>
          <w:b w:val="0"/>
        </w:rPr>
        <w:t>Верх-Каргатского</w:t>
      </w:r>
      <w:r w:rsidR="006539D2" w:rsidRPr="00E45F30">
        <w:rPr>
          <w:rStyle w:val="a5"/>
          <w:b w:val="0"/>
        </w:rPr>
        <w:t xml:space="preserve"> сельсовета </w:t>
      </w:r>
      <w:r w:rsidR="00B845BB" w:rsidRPr="00E45F30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845BB" w:rsidRPr="00E45F30" w:rsidRDefault="00A45D55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>
        <w:t xml:space="preserve">      </w:t>
      </w:r>
      <w:r w:rsidR="00B845BB" w:rsidRPr="00E45F30">
        <w:t xml:space="preserve">18. Средства, вырученные от реализации (выкупа) подарка, зачисляются в доход </w:t>
      </w:r>
      <w:r>
        <w:t xml:space="preserve">местного </w:t>
      </w:r>
      <w:r w:rsidR="00B845BB" w:rsidRPr="00E45F30">
        <w:t>бюджета в порядке, установленном бюджетным законодательством Российской Федерации.</w:t>
      </w:r>
    </w:p>
    <w:p w:rsidR="00B845BB" w:rsidRPr="00E45F30" w:rsidRDefault="00B845BB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t xml:space="preserve">Приложение к Порядку сообщения лицами, замещающими должности муниципальной службы в </w:t>
      </w:r>
      <w:r w:rsidR="006539D2" w:rsidRPr="00E45F30">
        <w:rPr>
          <w:rStyle w:val="a5"/>
          <w:b w:val="0"/>
        </w:rPr>
        <w:t xml:space="preserve">администрации </w:t>
      </w:r>
      <w:r w:rsidR="00566F52" w:rsidRPr="00E45F30">
        <w:rPr>
          <w:rStyle w:val="a5"/>
          <w:b w:val="0"/>
        </w:rPr>
        <w:t>Верх-Каргатского</w:t>
      </w:r>
      <w:r w:rsidR="006539D2" w:rsidRPr="00E45F30">
        <w:rPr>
          <w:rStyle w:val="a5"/>
          <w:b w:val="0"/>
        </w:rPr>
        <w:t xml:space="preserve"> сельсовета </w:t>
      </w:r>
      <w:r w:rsidRPr="00E45F30">
        <w:t xml:space="preserve">и муниципальными служащими </w:t>
      </w:r>
      <w:r w:rsidR="006539D2" w:rsidRPr="00E45F30">
        <w:rPr>
          <w:rStyle w:val="a5"/>
          <w:b w:val="0"/>
        </w:rPr>
        <w:t xml:space="preserve">администрации </w:t>
      </w:r>
      <w:r w:rsidR="00566F52" w:rsidRPr="00E45F30">
        <w:rPr>
          <w:rStyle w:val="a5"/>
          <w:b w:val="0"/>
        </w:rPr>
        <w:t>Верх-Каргатского</w:t>
      </w:r>
      <w:r w:rsidR="006539D2" w:rsidRPr="00E45F30">
        <w:rPr>
          <w:rStyle w:val="a5"/>
          <w:b w:val="0"/>
        </w:rPr>
        <w:t xml:space="preserve"> сельсовета </w:t>
      </w:r>
      <w:r w:rsidRPr="00E45F30">
        <w:t xml:space="preserve">о получении подарка в связи с их должностным </w:t>
      </w:r>
      <w:r w:rsidRPr="00E45F30">
        <w:lastRenderedPageBreak/>
        <w:t>положением, сдаче и оценке подарка, реализации (выкупе) и зачислении средств, вырученных от его реализации</w:t>
      </w:r>
    </w:p>
    <w:p w:rsidR="00B845BB" w:rsidRPr="00E45F30" w:rsidRDefault="00B845BB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rPr>
          <w:rStyle w:val="a5"/>
        </w:rPr>
        <w:t>Уведомление о получении подарка</w:t>
      </w:r>
    </w:p>
    <w:p w:rsidR="00B845BB" w:rsidRPr="00E45F30" w:rsidRDefault="00B845BB" w:rsidP="00A45D55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proofErr w:type="gramStart"/>
      <w:r w:rsidRPr="00E45F30">
        <w:t xml:space="preserve">(наименование </w:t>
      </w:r>
      <w:proofErr w:type="gramEnd"/>
    </w:p>
    <w:p w:rsidR="00B845BB" w:rsidRPr="00E45F30" w:rsidRDefault="00B845BB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t>органа местного самоуправления)</w:t>
      </w:r>
    </w:p>
    <w:p w:rsidR="00B845BB" w:rsidRPr="00E45F30" w:rsidRDefault="00B845BB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t>от</w:t>
      </w:r>
    </w:p>
    <w:p w:rsidR="00B845BB" w:rsidRPr="00E45F30" w:rsidRDefault="00B845BB" w:rsidP="00E45F30">
      <w:pPr>
        <w:pStyle w:val="a4"/>
        <w:shd w:val="clear" w:color="auto" w:fill="FFFFFF"/>
        <w:spacing w:before="0" w:beforeAutospacing="0" w:after="0" w:afterAutospacing="0" w:line="0" w:lineRule="atLeast"/>
        <w:ind w:left="567"/>
        <w:jc w:val="both"/>
      </w:pPr>
      <w:r w:rsidRPr="00E45F30">
        <w:t>(ф.и.о., занимаемая должность)</w:t>
      </w:r>
    </w:p>
    <w:tbl>
      <w:tblPr>
        <w:tblW w:w="0" w:type="auto"/>
        <w:shd w:val="clear" w:color="auto" w:fill="FFFFFF"/>
        <w:tblLook w:val="04A0"/>
      </w:tblPr>
      <w:tblGrid>
        <w:gridCol w:w="4682"/>
        <w:gridCol w:w="1137"/>
        <w:gridCol w:w="456"/>
        <w:gridCol w:w="1137"/>
        <w:gridCol w:w="456"/>
        <w:gridCol w:w="1257"/>
        <w:gridCol w:w="456"/>
        <w:gridCol w:w="1176"/>
      </w:tblGrid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 xml:space="preserve">Уведомление о получении подарка </w:t>
            </w:r>
            <w:proofErr w:type="gramStart"/>
            <w:r w:rsidRPr="00E45F30">
              <w:t>от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«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proofErr w:type="gramStart"/>
            <w:r w:rsidRPr="00E45F30">
              <w:t>г</w:t>
            </w:r>
            <w:proofErr w:type="gramEnd"/>
            <w:r w:rsidRPr="00E45F30">
              <w:t>.</w:t>
            </w:r>
          </w:p>
        </w:tc>
      </w:tr>
    </w:tbl>
    <w:p w:rsidR="00B845BB" w:rsidRPr="00E45F30" w:rsidRDefault="00B845BB" w:rsidP="00E45F30">
      <w:pPr>
        <w:pStyle w:val="a4"/>
        <w:shd w:val="clear" w:color="auto" w:fill="FFFFFF"/>
        <w:spacing w:before="0" w:beforeAutospacing="0" w:after="150" w:afterAutospacing="0" w:line="300" w:lineRule="atLeast"/>
        <w:ind w:left="567"/>
        <w:jc w:val="both"/>
      </w:pPr>
      <w:r w:rsidRPr="00E45F30">
        <w:t>Извещаю о получении</w:t>
      </w:r>
    </w:p>
    <w:p w:rsidR="00B845BB" w:rsidRPr="00E45F30" w:rsidRDefault="00B845BB" w:rsidP="00E45F30">
      <w:pPr>
        <w:pStyle w:val="a4"/>
        <w:shd w:val="clear" w:color="auto" w:fill="FFFFFF"/>
        <w:spacing w:before="0" w:beforeAutospacing="0" w:after="150" w:afterAutospacing="0" w:line="300" w:lineRule="atLeast"/>
        <w:ind w:left="567"/>
        <w:jc w:val="both"/>
      </w:pPr>
      <w:r w:rsidRPr="00E45F30">
        <w:t>(дата получения)</w:t>
      </w:r>
    </w:p>
    <w:p w:rsidR="00B845BB" w:rsidRPr="00E45F30" w:rsidRDefault="00B845BB" w:rsidP="00E45F30">
      <w:pPr>
        <w:pStyle w:val="a4"/>
        <w:shd w:val="clear" w:color="auto" w:fill="FFFFFF"/>
        <w:spacing w:before="0" w:beforeAutospacing="0" w:after="150" w:afterAutospacing="0" w:line="300" w:lineRule="atLeast"/>
        <w:ind w:left="567"/>
        <w:jc w:val="both"/>
      </w:pPr>
      <w:r w:rsidRPr="00E45F30">
        <w:t>подарк</w:t>
      </w:r>
      <w:proofErr w:type="gramStart"/>
      <w:r w:rsidRPr="00E45F30">
        <w:t>а(</w:t>
      </w:r>
      <w:proofErr w:type="spellStart"/>
      <w:proofErr w:type="gramEnd"/>
      <w:r w:rsidRPr="00E45F30">
        <w:t>ов</w:t>
      </w:r>
      <w:proofErr w:type="spellEnd"/>
      <w:r w:rsidRPr="00E45F30">
        <w:t>) на</w:t>
      </w:r>
    </w:p>
    <w:p w:rsidR="00B845BB" w:rsidRPr="00E45F30" w:rsidRDefault="00B845BB" w:rsidP="00E45F30">
      <w:pPr>
        <w:pStyle w:val="a4"/>
        <w:shd w:val="clear" w:color="auto" w:fill="FFFFFF"/>
        <w:spacing w:before="0" w:beforeAutospacing="0" w:after="150" w:afterAutospacing="0" w:line="300" w:lineRule="atLeast"/>
        <w:ind w:left="567"/>
        <w:jc w:val="both"/>
      </w:pPr>
      <w:r w:rsidRPr="00E45F30">
        <w:t>(наименование протокольного мероприятия, служебной командировки,</w:t>
      </w:r>
      <w:r w:rsidRPr="00E45F30">
        <w:br/>
        <w:t>другого официального мероприятия, место и дата проведения)</w:t>
      </w:r>
    </w:p>
    <w:tbl>
      <w:tblPr>
        <w:tblW w:w="0" w:type="auto"/>
        <w:shd w:val="clear" w:color="auto" w:fill="FFFFFF"/>
        <w:tblLook w:val="04A0"/>
      </w:tblPr>
      <w:tblGrid>
        <w:gridCol w:w="2714"/>
        <w:gridCol w:w="3191"/>
        <w:gridCol w:w="2474"/>
        <w:gridCol w:w="2378"/>
      </w:tblGrid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Стоимость в рублях</w:t>
            </w:r>
            <w:r w:rsidRPr="00E45F30">
              <w:rPr>
                <w:rStyle w:val="apple-converted-space"/>
              </w:rPr>
              <w:t> </w:t>
            </w:r>
            <w:r w:rsidRPr="00E45F30">
              <w:t>*</w:t>
            </w:r>
          </w:p>
        </w:tc>
      </w:tr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</w:tr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</w:tr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</w:tr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</w:tr>
    </w:tbl>
    <w:p w:rsidR="00B845BB" w:rsidRPr="00E45F30" w:rsidRDefault="00B845BB" w:rsidP="00E45F30">
      <w:pPr>
        <w:ind w:left="567"/>
        <w:jc w:val="both"/>
        <w:rPr>
          <w:vanish/>
        </w:rPr>
      </w:pPr>
    </w:p>
    <w:tbl>
      <w:tblPr>
        <w:tblW w:w="0" w:type="auto"/>
        <w:shd w:val="clear" w:color="auto" w:fill="FFFFFF"/>
        <w:tblLook w:val="04A0"/>
      </w:tblPr>
      <w:tblGrid>
        <w:gridCol w:w="3768"/>
        <w:gridCol w:w="456"/>
        <w:gridCol w:w="1252"/>
        <w:gridCol w:w="456"/>
        <w:gridCol w:w="1764"/>
      </w:tblGrid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Приложение: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proofErr w:type="gramStart"/>
            <w:r w:rsidRPr="00E45F30">
              <w:t>листах</w:t>
            </w:r>
            <w:proofErr w:type="gramEnd"/>
            <w:r w:rsidRPr="00E45F30">
              <w:t>.</w:t>
            </w:r>
          </w:p>
        </w:tc>
      </w:tr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(наименование документа)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</w:tr>
    </w:tbl>
    <w:p w:rsidR="00B845BB" w:rsidRPr="00E45F30" w:rsidRDefault="00B845BB" w:rsidP="00E45F30">
      <w:pPr>
        <w:ind w:left="567"/>
        <w:jc w:val="both"/>
        <w:rPr>
          <w:vanish/>
        </w:rPr>
      </w:pPr>
    </w:p>
    <w:tbl>
      <w:tblPr>
        <w:tblW w:w="0" w:type="auto"/>
        <w:shd w:val="clear" w:color="auto" w:fill="FFFFFF"/>
        <w:tblLook w:val="04A0"/>
      </w:tblPr>
      <w:tblGrid>
        <w:gridCol w:w="2184"/>
        <w:gridCol w:w="2112"/>
        <w:gridCol w:w="455"/>
        <w:gridCol w:w="455"/>
        <w:gridCol w:w="1014"/>
        <w:gridCol w:w="455"/>
        <w:gridCol w:w="1014"/>
        <w:gridCol w:w="455"/>
        <w:gridCol w:w="1112"/>
        <w:gridCol w:w="455"/>
        <w:gridCol w:w="1046"/>
      </w:tblGrid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Лицо, представившее уведомление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«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proofErr w:type="gramStart"/>
            <w:r w:rsidRPr="00E45F30">
              <w:t>г</w:t>
            </w:r>
            <w:proofErr w:type="gramEnd"/>
            <w:r w:rsidRPr="00E45F30">
              <w:t>.</w:t>
            </w:r>
          </w:p>
        </w:tc>
      </w:tr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lastRenderedPageBreak/>
              <w:t>(подпись)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(расшифровка подписи)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</w:tr>
    </w:tbl>
    <w:p w:rsidR="00B845BB" w:rsidRPr="00E45F30" w:rsidRDefault="00B845BB" w:rsidP="00E45F30">
      <w:pPr>
        <w:ind w:left="567"/>
        <w:jc w:val="both"/>
        <w:rPr>
          <w:vanish/>
        </w:rPr>
      </w:pPr>
    </w:p>
    <w:tbl>
      <w:tblPr>
        <w:tblW w:w="0" w:type="auto"/>
        <w:shd w:val="clear" w:color="auto" w:fill="FFFFFF"/>
        <w:tblLook w:val="04A0"/>
      </w:tblPr>
      <w:tblGrid>
        <w:gridCol w:w="2052"/>
        <w:gridCol w:w="2167"/>
        <w:gridCol w:w="455"/>
        <w:gridCol w:w="455"/>
        <w:gridCol w:w="1032"/>
        <w:gridCol w:w="455"/>
        <w:gridCol w:w="1032"/>
        <w:gridCol w:w="455"/>
        <w:gridCol w:w="1134"/>
        <w:gridCol w:w="455"/>
        <w:gridCol w:w="1065"/>
      </w:tblGrid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Лицо, принявшее уведомление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«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proofErr w:type="gramStart"/>
            <w:r w:rsidRPr="00E45F30">
              <w:t>г</w:t>
            </w:r>
            <w:proofErr w:type="gramEnd"/>
            <w:r w:rsidRPr="00E45F30">
              <w:t>.</w:t>
            </w:r>
          </w:p>
        </w:tc>
      </w:tr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(подпись)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(расшифровка подписи)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  <w:tc>
          <w:tcPr>
            <w:tcW w:w="0" w:type="auto"/>
            <w:shd w:val="clear" w:color="auto" w:fill="FFFFFF"/>
            <w:tcMar>
              <w:top w:w="300" w:type="dxa"/>
              <w:bottom w:w="300" w:type="dxa"/>
            </w:tcMar>
            <w:vAlign w:val="center"/>
          </w:tcPr>
          <w:p w:rsidR="00B845BB" w:rsidRPr="00E45F30" w:rsidRDefault="00B845BB" w:rsidP="00E45F30">
            <w:pPr>
              <w:ind w:left="567"/>
              <w:jc w:val="both"/>
            </w:pPr>
          </w:p>
        </w:tc>
      </w:tr>
    </w:tbl>
    <w:p w:rsidR="00B845BB" w:rsidRPr="00E45F30" w:rsidRDefault="00B845BB" w:rsidP="00E45F30">
      <w:pPr>
        <w:pStyle w:val="a4"/>
        <w:shd w:val="clear" w:color="auto" w:fill="FFFFFF"/>
        <w:spacing w:before="0" w:beforeAutospacing="0" w:after="150" w:afterAutospacing="0" w:line="300" w:lineRule="atLeast"/>
        <w:ind w:left="567"/>
        <w:jc w:val="both"/>
      </w:pPr>
      <w:r w:rsidRPr="00E45F30">
        <w:t>Регистрационный номер в журнале регистрации уведомлений</w:t>
      </w:r>
    </w:p>
    <w:tbl>
      <w:tblPr>
        <w:tblW w:w="0" w:type="auto"/>
        <w:shd w:val="clear" w:color="auto" w:fill="FFFFFF"/>
        <w:tblLook w:val="04A0"/>
      </w:tblPr>
      <w:tblGrid>
        <w:gridCol w:w="1137"/>
        <w:gridCol w:w="456"/>
        <w:gridCol w:w="1137"/>
        <w:gridCol w:w="456"/>
        <w:gridCol w:w="1257"/>
        <w:gridCol w:w="456"/>
        <w:gridCol w:w="1176"/>
      </w:tblGrid>
      <w:tr w:rsidR="00B845BB" w:rsidRPr="00E45F30" w:rsidTr="00B845BB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«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r w:rsidRPr="00E45F30"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</w:tcPr>
          <w:p w:rsidR="00B845BB" w:rsidRPr="00E45F30" w:rsidRDefault="00B845BB" w:rsidP="00E45F30">
            <w:pPr>
              <w:spacing w:line="300" w:lineRule="atLeast"/>
              <w:ind w:left="567"/>
              <w:jc w:val="both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F0F4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:rsidR="00B845BB" w:rsidRPr="00E45F30" w:rsidRDefault="00B845BB" w:rsidP="00E45F30">
            <w:pPr>
              <w:pStyle w:val="a4"/>
              <w:spacing w:before="0" w:beforeAutospacing="0" w:after="150" w:afterAutospacing="0" w:line="300" w:lineRule="atLeast"/>
              <w:ind w:left="567"/>
              <w:jc w:val="both"/>
            </w:pPr>
            <w:proofErr w:type="gramStart"/>
            <w:r w:rsidRPr="00E45F30">
              <w:t>г</w:t>
            </w:r>
            <w:proofErr w:type="gramEnd"/>
            <w:r w:rsidRPr="00E45F30">
              <w:t>.</w:t>
            </w:r>
          </w:p>
        </w:tc>
      </w:tr>
    </w:tbl>
    <w:p w:rsidR="00B845BB" w:rsidRPr="00E45F30" w:rsidRDefault="00B845BB" w:rsidP="00E45F30">
      <w:pPr>
        <w:ind w:left="567"/>
        <w:jc w:val="both"/>
      </w:pPr>
    </w:p>
    <w:p w:rsidR="00B845BB" w:rsidRPr="00B845BB" w:rsidRDefault="00B845BB" w:rsidP="00E45F30">
      <w:pPr>
        <w:tabs>
          <w:tab w:val="left" w:pos="1245"/>
        </w:tabs>
        <w:spacing w:line="0" w:lineRule="atLeast"/>
        <w:rPr>
          <w:sz w:val="22"/>
        </w:rPr>
      </w:pPr>
    </w:p>
    <w:sectPr w:rsidR="00B845BB" w:rsidRPr="00B845BB" w:rsidSect="00E45F30">
      <w:pgSz w:w="11906" w:h="17948"/>
      <w:pgMar w:top="851" w:right="465" w:bottom="567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B845BB"/>
    <w:rsid w:val="00162D68"/>
    <w:rsid w:val="0017010B"/>
    <w:rsid w:val="002743EF"/>
    <w:rsid w:val="002C12EE"/>
    <w:rsid w:val="00566F52"/>
    <w:rsid w:val="006539D2"/>
    <w:rsid w:val="00777F97"/>
    <w:rsid w:val="0081420A"/>
    <w:rsid w:val="00872B79"/>
    <w:rsid w:val="00952818"/>
    <w:rsid w:val="00976C16"/>
    <w:rsid w:val="00A45D55"/>
    <w:rsid w:val="00AF5E0F"/>
    <w:rsid w:val="00B845BB"/>
    <w:rsid w:val="00C90E3F"/>
    <w:rsid w:val="00E45F30"/>
    <w:rsid w:val="00F4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45BB"/>
    <w:rPr>
      <w:color w:val="0000FF"/>
      <w:u w:val="single"/>
    </w:rPr>
  </w:style>
  <w:style w:type="paragraph" w:styleId="a4">
    <w:name w:val="Normal (Web)"/>
    <w:basedOn w:val="a"/>
    <w:unhideWhenUsed/>
    <w:rsid w:val="00B845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45BB"/>
  </w:style>
  <w:style w:type="character" w:styleId="a5">
    <w:name w:val="Strong"/>
    <w:basedOn w:val="a0"/>
    <w:qFormat/>
    <w:rsid w:val="00B845BB"/>
    <w:rPr>
      <w:b/>
      <w:bCs/>
    </w:rPr>
  </w:style>
  <w:style w:type="character" w:styleId="a6">
    <w:name w:val="Emphasis"/>
    <w:basedOn w:val="a0"/>
    <w:qFormat/>
    <w:rsid w:val="00B845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nov.ru/local/39-polozheniya-o-soobshchenii-licami-zameshchayushchimi-dolzhnosti-municipalnoy-sluzhby-o-poluchenii-podark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cnov.ru/local/39-polozheniya-o-soobshchenii-licami-zameshchayushchimi-dolzhnosti-municipalnoy-sluzhby-o-poluchenii-podark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cnov.ru/local/39-polozheniya-o-soobshchenii-licami-zameshchayushchimi-dolzhnosti-municipalnoy-sluzhby-o-poluchenii-podarka.html" TargetMode="External"/><Relationship Id="rId11" Type="http://schemas.openxmlformats.org/officeDocument/2006/relationships/hyperlink" Target="http://procnov.ru/local/39-polozheniya-o-soobshchenii-licami-zameshchayushchimi-dolzhnosti-municipalnoy-sluzhby-o-poluchenii-podarka.html" TargetMode="External"/><Relationship Id="rId5" Type="http://schemas.openxmlformats.org/officeDocument/2006/relationships/hyperlink" Target="http://procnov.ru/local/39-polozheniya-o-soobshchenii-licami-zameshchayushchimi-dolzhnosti-municipalnoy-sluzhby-o-poluchenii-podarka.html" TargetMode="External"/><Relationship Id="rId10" Type="http://schemas.openxmlformats.org/officeDocument/2006/relationships/hyperlink" Target="http://procnov.ru/local/39-polozheniya-o-soobshchenii-licami-zameshchayushchimi-dolzhnosti-municipalnoy-sluzhby-o-poluchenii-podarka.html" TargetMode="External"/><Relationship Id="rId4" Type="http://schemas.openxmlformats.org/officeDocument/2006/relationships/hyperlink" Target="http://zakonbase.ru/grazhdanskij-kodeks/chast-1/" TargetMode="External"/><Relationship Id="rId9" Type="http://schemas.openxmlformats.org/officeDocument/2006/relationships/hyperlink" Target="http://procnov.ru/local/39-polozheniya-o-soobshchenii-licami-zameshchayushchimi-dolzhnosti-municipalnoy-sluzhby-o-poluchenii-podar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Verh_Kargat_Mais</cp:lastModifiedBy>
  <cp:revision>5</cp:revision>
  <cp:lastPrinted>2015-08-17T09:17:00Z</cp:lastPrinted>
  <dcterms:created xsi:type="dcterms:W3CDTF">2014-12-15T04:08:00Z</dcterms:created>
  <dcterms:modified xsi:type="dcterms:W3CDTF">2015-08-17T09:17:00Z</dcterms:modified>
</cp:coreProperties>
</file>